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7A9" w:rsidRDefault="00A147A9" w:rsidP="00A147A9">
      <w:pPr>
        <w:spacing w:line="480" w:lineRule="auto"/>
        <w:jc w:val="center"/>
        <w:rPr>
          <w:rFonts w:ascii="Times New Roman" w:hAnsi="Times New Roman" w:cs="Times New Roman"/>
          <w:sz w:val="24"/>
          <w:szCs w:val="24"/>
        </w:rPr>
      </w:pPr>
    </w:p>
    <w:p w:rsidR="00A147A9" w:rsidRDefault="00A147A9" w:rsidP="00A147A9">
      <w:pPr>
        <w:spacing w:line="480" w:lineRule="auto"/>
        <w:jc w:val="center"/>
        <w:rPr>
          <w:rFonts w:ascii="Times New Roman" w:hAnsi="Times New Roman" w:cs="Times New Roman"/>
          <w:sz w:val="24"/>
          <w:szCs w:val="24"/>
        </w:rPr>
      </w:pPr>
    </w:p>
    <w:p w:rsidR="00A147A9" w:rsidRDefault="00A147A9" w:rsidP="00A147A9">
      <w:pPr>
        <w:spacing w:line="480" w:lineRule="auto"/>
        <w:jc w:val="center"/>
        <w:rPr>
          <w:rFonts w:ascii="Times New Roman" w:hAnsi="Times New Roman" w:cs="Times New Roman"/>
          <w:sz w:val="24"/>
          <w:szCs w:val="24"/>
        </w:rPr>
      </w:pPr>
    </w:p>
    <w:p w:rsidR="00A147A9" w:rsidRDefault="00A147A9" w:rsidP="00A147A9">
      <w:pPr>
        <w:spacing w:line="480" w:lineRule="auto"/>
        <w:jc w:val="center"/>
        <w:rPr>
          <w:rFonts w:ascii="Times New Roman" w:hAnsi="Times New Roman" w:cs="Times New Roman"/>
          <w:sz w:val="24"/>
          <w:szCs w:val="24"/>
        </w:rPr>
      </w:pPr>
    </w:p>
    <w:p w:rsidR="00A147A9" w:rsidRDefault="00A147A9" w:rsidP="00A147A9">
      <w:pPr>
        <w:spacing w:line="480" w:lineRule="auto"/>
        <w:jc w:val="center"/>
        <w:rPr>
          <w:rFonts w:ascii="Times New Roman" w:hAnsi="Times New Roman" w:cs="Times New Roman"/>
          <w:sz w:val="24"/>
          <w:szCs w:val="24"/>
        </w:rPr>
      </w:pPr>
    </w:p>
    <w:p w:rsidR="00A147A9" w:rsidRDefault="00A147A9" w:rsidP="00A147A9">
      <w:pPr>
        <w:spacing w:line="480" w:lineRule="auto"/>
        <w:jc w:val="center"/>
        <w:rPr>
          <w:rFonts w:ascii="Times New Roman" w:hAnsi="Times New Roman" w:cs="Times New Roman"/>
          <w:sz w:val="24"/>
          <w:szCs w:val="24"/>
        </w:rPr>
      </w:pPr>
    </w:p>
    <w:p w:rsidR="005426B4" w:rsidRPr="00A147A9" w:rsidRDefault="00A147A9" w:rsidP="00A147A9">
      <w:pPr>
        <w:spacing w:line="480" w:lineRule="auto"/>
        <w:jc w:val="center"/>
        <w:rPr>
          <w:rFonts w:ascii="Times New Roman" w:hAnsi="Times New Roman" w:cs="Times New Roman"/>
          <w:sz w:val="24"/>
          <w:szCs w:val="24"/>
        </w:rPr>
      </w:pPr>
      <w:r w:rsidRPr="00A147A9">
        <w:rPr>
          <w:rFonts w:ascii="Times New Roman" w:hAnsi="Times New Roman" w:cs="Times New Roman"/>
          <w:sz w:val="24"/>
          <w:szCs w:val="24"/>
        </w:rPr>
        <w:t>Interest Bonds</w:t>
      </w:r>
    </w:p>
    <w:p w:rsidR="00A147A9" w:rsidRPr="00A147A9" w:rsidRDefault="00A147A9" w:rsidP="00A147A9">
      <w:pPr>
        <w:spacing w:line="480" w:lineRule="auto"/>
        <w:jc w:val="center"/>
        <w:rPr>
          <w:rFonts w:ascii="Times New Roman" w:hAnsi="Times New Roman" w:cs="Times New Roman"/>
          <w:sz w:val="24"/>
          <w:szCs w:val="24"/>
        </w:rPr>
      </w:pPr>
      <w:r w:rsidRPr="00A147A9">
        <w:rPr>
          <w:rFonts w:ascii="Times New Roman" w:hAnsi="Times New Roman" w:cs="Times New Roman"/>
          <w:sz w:val="24"/>
          <w:szCs w:val="24"/>
        </w:rPr>
        <w:t>Name</w:t>
      </w:r>
    </w:p>
    <w:p w:rsidR="00A147A9" w:rsidRPr="00A147A9" w:rsidRDefault="00A147A9" w:rsidP="00A147A9">
      <w:pPr>
        <w:spacing w:line="480" w:lineRule="auto"/>
        <w:jc w:val="center"/>
        <w:rPr>
          <w:rFonts w:ascii="Times New Roman" w:hAnsi="Times New Roman" w:cs="Times New Roman"/>
          <w:sz w:val="24"/>
          <w:szCs w:val="24"/>
        </w:rPr>
      </w:pPr>
      <w:r w:rsidRPr="00A147A9">
        <w:rPr>
          <w:rFonts w:ascii="Times New Roman" w:hAnsi="Times New Roman" w:cs="Times New Roman"/>
          <w:sz w:val="24"/>
          <w:szCs w:val="24"/>
        </w:rPr>
        <w:t>Course</w:t>
      </w:r>
    </w:p>
    <w:p w:rsidR="00A147A9" w:rsidRPr="00A147A9" w:rsidRDefault="00A147A9" w:rsidP="00A147A9">
      <w:pPr>
        <w:spacing w:line="480" w:lineRule="auto"/>
        <w:jc w:val="center"/>
        <w:rPr>
          <w:rFonts w:ascii="Times New Roman" w:hAnsi="Times New Roman" w:cs="Times New Roman"/>
          <w:sz w:val="24"/>
          <w:szCs w:val="24"/>
        </w:rPr>
      </w:pPr>
      <w:r w:rsidRPr="00A147A9">
        <w:rPr>
          <w:rFonts w:ascii="Times New Roman" w:hAnsi="Times New Roman" w:cs="Times New Roman"/>
          <w:sz w:val="24"/>
          <w:szCs w:val="24"/>
        </w:rPr>
        <w:t>Instructor</w:t>
      </w:r>
    </w:p>
    <w:p w:rsidR="00A147A9" w:rsidRPr="00A147A9" w:rsidRDefault="00A147A9" w:rsidP="00A147A9">
      <w:pPr>
        <w:spacing w:line="480" w:lineRule="auto"/>
        <w:jc w:val="center"/>
        <w:rPr>
          <w:rFonts w:ascii="Times New Roman" w:hAnsi="Times New Roman" w:cs="Times New Roman"/>
          <w:sz w:val="24"/>
          <w:szCs w:val="24"/>
        </w:rPr>
      </w:pPr>
      <w:r w:rsidRPr="00A147A9">
        <w:rPr>
          <w:rFonts w:ascii="Times New Roman" w:hAnsi="Times New Roman" w:cs="Times New Roman"/>
          <w:sz w:val="24"/>
          <w:szCs w:val="24"/>
        </w:rPr>
        <w:t>Institution</w:t>
      </w:r>
    </w:p>
    <w:p w:rsidR="00A147A9" w:rsidRDefault="00A147A9" w:rsidP="00A147A9">
      <w:pPr>
        <w:spacing w:line="480" w:lineRule="auto"/>
        <w:jc w:val="center"/>
        <w:rPr>
          <w:rFonts w:ascii="Times New Roman" w:hAnsi="Times New Roman" w:cs="Times New Roman"/>
          <w:sz w:val="24"/>
          <w:szCs w:val="24"/>
        </w:rPr>
      </w:pPr>
      <w:r w:rsidRPr="00A147A9">
        <w:rPr>
          <w:rFonts w:ascii="Times New Roman" w:hAnsi="Times New Roman" w:cs="Times New Roman"/>
          <w:sz w:val="24"/>
          <w:szCs w:val="24"/>
        </w:rPr>
        <w:t>Date</w:t>
      </w:r>
    </w:p>
    <w:p w:rsidR="00A147A9" w:rsidRDefault="00A147A9">
      <w:pPr>
        <w:rPr>
          <w:rFonts w:ascii="Times New Roman" w:hAnsi="Times New Roman" w:cs="Times New Roman"/>
          <w:sz w:val="24"/>
          <w:szCs w:val="24"/>
        </w:rPr>
      </w:pPr>
      <w:r>
        <w:rPr>
          <w:rFonts w:ascii="Times New Roman" w:hAnsi="Times New Roman" w:cs="Times New Roman"/>
          <w:sz w:val="24"/>
          <w:szCs w:val="24"/>
        </w:rPr>
        <w:br w:type="page"/>
      </w:r>
    </w:p>
    <w:p w:rsidR="00A147A9" w:rsidRPr="00A147A9" w:rsidRDefault="00A147A9" w:rsidP="00A147A9">
      <w:pPr>
        <w:spacing w:line="480" w:lineRule="auto"/>
        <w:jc w:val="center"/>
        <w:rPr>
          <w:rFonts w:ascii="Times New Roman" w:hAnsi="Times New Roman" w:cs="Times New Roman"/>
          <w:sz w:val="24"/>
          <w:szCs w:val="24"/>
        </w:rPr>
      </w:pPr>
      <w:r w:rsidRPr="00A147A9">
        <w:rPr>
          <w:rFonts w:ascii="Times New Roman" w:hAnsi="Times New Roman" w:cs="Times New Roman"/>
          <w:sz w:val="24"/>
          <w:szCs w:val="24"/>
        </w:rPr>
        <w:lastRenderedPageBreak/>
        <w:t>Interest Bonds</w:t>
      </w:r>
    </w:p>
    <w:p w:rsidR="006A30C1" w:rsidRPr="006A30C1" w:rsidRDefault="006A30C1" w:rsidP="00255A7D">
      <w:pPr>
        <w:spacing w:line="480" w:lineRule="auto"/>
        <w:ind w:firstLine="720"/>
        <w:rPr>
          <w:rFonts w:ascii="Times New Roman" w:hAnsi="Times New Roman" w:cs="Times New Roman"/>
          <w:sz w:val="24"/>
          <w:szCs w:val="24"/>
        </w:rPr>
      </w:pPr>
      <w:r w:rsidRPr="006A30C1">
        <w:rPr>
          <w:rFonts w:ascii="Times New Roman" w:hAnsi="Times New Roman" w:cs="Times New Roman"/>
          <w:sz w:val="24"/>
          <w:szCs w:val="24"/>
        </w:rPr>
        <w:t>Cost of capital refers to the expected returns on the securities given by a company, while the required rate of return speaks to the return premium needed in the investment to justify the risk taken by the investor. It is possible that the required rate of return is equal to the cost of capital for a given investment; theoretically, the two should tend towards each other (Kaufman &amp; Hopewell, 2017). Organizations are concerned about their cost of capital they must determine when it is appropriate to raise capital and then make a decision about the amount to raise and the methods to acquire it. Each decision made by a company come with certain costs and risks, and the cost of capital can be applied in comparison to different methods more clearly. It is simple to establish the cost of debt. All creditors both large lending institutions and bond investors charge an interest rate for their loan. It is a little more complicated to calculate the cost of equity and it is also uncertain but in theoretical approach, the cost of equity is equal to the required return for individuals who invest in equity. When a company has a clue of its cost of debt and equity, it calculates its weighted average of all its costs. These figures are very important for a company to expand their capital and make economic sense (Houweling &amp; Van, 2017).</w:t>
      </w:r>
    </w:p>
    <w:p w:rsidR="006A30C1" w:rsidRPr="006A30C1" w:rsidRDefault="006A30C1" w:rsidP="00255A7D">
      <w:pPr>
        <w:spacing w:line="480" w:lineRule="auto"/>
        <w:ind w:firstLine="720"/>
        <w:rPr>
          <w:rFonts w:ascii="Times New Roman" w:hAnsi="Times New Roman" w:cs="Times New Roman"/>
          <w:sz w:val="24"/>
          <w:szCs w:val="24"/>
        </w:rPr>
      </w:pPr>
      <w:r w:rsidRPr="006A30C1">
        <w:rPr>
          <w:rFonts w:ascii="Times New Roman" w:hAnsi="Times New Roman" w:cs="Times New Roman"/>
          <w:sz w:val="24"/>
          <w:szCs w:val="24"/>
        </w:rPr>
        <w:t>The required rate of returns originates from the investors whereby they can find a risk-free return by holding on to their finances or by investing in short-term bonds. The issuing company and the investor become compatible trading partners the moment the cost of capital is equivalent to the required return (Houweling &amp; Van, 2017).</w:t>
      </w:r>
    </w:p>
    <w:p w:rsidR="006A30C1" w:rsidRPr="006A30C1" w:rsidRDefault="006A30C1" w:rsidP="00255A7D">
      <w:pPr>
        <w:spacing w:line="480" w:lineRule="auto"/>
        <w:ind w:firstLine="720"/>
        <w:rPr>
          <w:rFonts w:ascii="Times New Roman" w:hAnsi="Times New Roman" w:cs="Times New Roman"/>
          <w:sz w:val="24"/>
          <w:szCs w:val="24"/>
        </w:rPr>
      </w:pPr>
      <w:r w:rsidRPr="006A30C1">
        <w:rPr>
          <w:rFonts w:ascii="Times New Roman" w:hAnsi="Times New Roman" w:cs="Times New Roman"/>
          <w:sz w:val="24"/>
          <w:szCs w:val="24"/>
        </w:rPr>
        <w:t xml:space="preserve">Municipal bonds are debt obligations issued by government entities when an individual buys a municipal bond, he/she is lending money to the issuer in exchange for a set number of interest payment over a certain period.  When the set period is over, the bonds reach their </w:t>
      </w:r>
      <w:r w:rsidRPr="006A30C1">
        <w:rPr>
          <w:rFonts w:ascii="Times New Roman" w:hAnsi="Times New Roman" w:cs="Times New Roman"/>
          <w:sz w:val="24"/>
          <w:szCs w:val="24"/>
        </w:rPr>
        <w:lastRenderedPageBreak/>
        <w:t>maturity date, and the full amount of the original investment is returned to the investor.  Municipal bonds are available in both tax-exempt and taxable formats; however, people pay much attention to the tax-exempt formats since the income they generate is tax exempt (Kriz &amp; Xiao, 2017). There are two varieties of municipal bonds</w:t>
      </w:r>
      <w:proofErr w:type="gramStart"/>
      <w:r w:rsidRPr="006A30C1">
        <w:rPr>
          <w:rFonts w:ascii="Times New Roman" w:hAnsi="Times New Roman" w:cs="Times New Roman"/>
          <w:sz w:val="24"/>
          <w:szCs w:val="24"/>
        </w:rPr>
        <w:t>;</w:t>
      </w:r>
      <w:proofErr w:type="gramEnd"/>
      <w:r w:rsidRPr="006A30C1">
        <w:rPr>
          <w:rFonts w:ascii="Times New Roman" w:hAnsi="Times New Roman" w:cs="Times New Roman"/>
          <w:sz w:val="24"/>
          <w:szCs w:val="24"/>
        </w:rPr>
        <w:t xml:space="preserve"> the general obligations bonds and the revenue bonds. The general obligation variety raises immediate money to cater for expenses and they are supported by the issuers’ taxing power. On the other hand, the revenue bonds are issued to finance the infrastructure projects and are supported income those projects generate. Municipal bonds have a risk factor whereby when the issuer is not able to meet the required financial obligations, it may also be unable to make a scheduled interest payment and the principal when the bonds mature. In order to evaluate the issuers’ creditworthiness, agencies involved in rating are involved to analyze the issuers’ ability to meet its debt obligations (Schwert, 2017). </w:t>
      </w:r>
    </w:p>
    <w:p w:rsidR="006C2384" w:rsidRDefault="006A30C1" w:rsidP="00255A7D">
      <w:pPr>
        <w:spacing w:line="480" w:lineRule="auto"/>
        <w:ind w:firstLine="720"/>
        <w:rPr>
          <w:rFonts w:ascii="Times New Roman" w:hAnsi="Times New Roman" w:cs="Times New Roman"/>
          <w:sz w:val="24"/>
          <w:szCs w:val="24"/>
        </w:rPr>
      </w:pPr>
      <w:r w:rsidRPr="006A30C1">
        <w:rPr>
          <w:rFonts w:ascii="Times New Roman" w:hAnsi="Times New Roman" w:cs="Times New Roman"/>
          <w:sz w:val="24"/>
          <w:szCs w:val="24"/>
        </w:rPr>
        <w:t xml:space="preserve">Municipal bonds interest rates are paid at a fixed rate, which does not change for the entire life of the bond. If there is a rise in the interest rate in the market, the bond currently owned by an investor will be paying a lower yield compared to yield offered to newly offered bond. These bonds generate a non-taxable income and therefore they pay lower interest rates than taxable incomes. Any investor who anticipates a significant decrease in their marginal income tax-rate may in a better way be served by the higher yield available from taxable bonds (Schwert, 2017).   </w:t>
      </w:r>
    </w:p>
    <w:p w:rsidR="006C2384" w:rsidRDefault="006C2384" w:rsidP="00255A7D">
      <w:pPr>
        <w:spacing w:line="480" w:lineRule="auto"/>
        <w:ind w:firstLine="720"/>
        <w:rPr>
          <w:rFonts w:ascii="Times New Roman" w:hAnsi="Times New Roman" w:cs="Times New Roman"/>
          <w:sz w:val="24"/>
          <w:szCs w:val="24"/>
        </w:rPr>
      </w:pPr>
    </w:p>
    <w:p w:rsidR="006C2384" w:rsidRDefault="006C2384" w:rsidP="00255A7D">
      <w:pPr>
        <w:spacing w:line="480" w:lineRule="auto"/>
        <w:ind w:firstLine="720"/>
        <w:rPr>
          <w:rFonts w:ascii="Times New Roman" w:hAnsi="Times New Roman" w:cs="Times New Roman"/>
          <w:sz w:val="24"/>
          <w:szCs w:val="24"/>
        </w:rPr>
      </w:pPr>
    </w:p>
    <w:p w:rsidR="006C2384" w:rsidRDefault="006C2384" w:rsidP="00255A7D">
      <w:pPr>
        <w:spacing w:line="480" w:lineRule="auto"/>
        <w:ind w:firstLine="720"/>
        <w:rPr>
          <w:rFonts w:ascii="Times New Roman" w:hAnsi="Times New Roman" w:cs="Times New Roman"/>
          <w:sz w:val="24"/>
          <w:szCs w:val="24"/>
        </w:rPr>
      </w:pPr>
    </w:p>
    <w:p w:rsidR="006A30C1" w:rsidRDefault="006A30C1" w:rsidP="00255A7D">
      <w:pPr>
        <w:spacing w:line="480" w:lineRule="auto"/>
        <w:ind w:firstLine="720"/>
        <w:jc w:val="center"/>
        <w:rPr>
          <w:rFonts w:ascii="Times New Roman" w:hAnsi="Times New Roman" w:cs="Times New Roman"/>
          <w:sz w:val="24"/>
          <w:szCs w:val="24"/>
        </w:rPr>
      </w:pPr>
    </w:p>
    <w:p w:rsidR="006C2384" w:rsidRDefault="006C2384" w:rsidP="006C238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F7D8E" w:rsidRPr="00EF7D8E" w:rsidRDefault="00EF7D8E" w:rsidP="00EF7D8E">
      <w:pPr>
        <w:spacing w:line="480" w:lineRule="auto"/>
        <w:ind w:left="720" w:hanging="720"/>
        <w:rPr>
          <w:rFonts w:ascii="Times New Roman" w:hAnsi="Times New Roman" w:cs="Times New Roman"/>
          <w:color w:val="222222"/>
          <w:sz w:val="24"/>
          <w:szCs w:val="24"/>
          <w:shd w:val="clear" w:color="auto" w:fill="FFFFFF"/>
        </w:rPr>
      </w:pPr>
      <w:r w:rsidRPr="00EF7D8E">
        <w:rPr>
          <w:rFonts w:ascii="Times New Roman" w:hAnsi="Times New Roman" w:cs="Times New Roman"/>
          <w:color w:val="222222"/>
          <w:sz w:val="24"/>
          <w:szCs w:val="24"/>
          <w:shd w:val="clear" w:color="auto" w:fill="FFFFFF"/>
        </w:rPr>
        <w:t>Houweling, P., &amp; Van Zundert, J. (2017). Factor investing in the corporate bond market.</w:t>
      </w:r>
      <w:r w:rsidRPr="00EF7D8E">
        <w:rPr>
          <w:rStyle w:val="apple-converted-space"/>
          <w:rFonts w:ascii="Times New Roman" w:hAnsi="Times New Roman" w:cs="Times New Roman"/>
          <w:color w:val="222222"/>
          <w:sz w:val="24"/>
          <w:szCs w:val="24"/>
          <w:shd w:val="clear" w:color="auto" w:fill="FFFFFF"/>
        </w:rPr>
        <w:t> </w:t>
      </w:r>
      <w:r w:rsidRPr="00EF7D8E">
        <w:rPr>
          <w:rFonts w:ascii="Times New Roman" w:hAnsi="Times New Roman" w:cs="Times New Roman"/>
          <w:i/>
          <w:iCs/>
          <w:color w:val="222222"/>
          <w:sz w:val="24"/>
          <w:szCs w:val="24"/>
          <w:shd w:val="clear" w:color="auto" w:fill="FFFFFF"/>
        </w:rPr>
        <w:t>Financial Analysts Journal</w:t>
      </w:r>
      <w:r w:rsidRPr="00EF7D8E">
        <w:rPr>
          <w:rFonts w:ascii="Times New Roman" w:hAnsi="Times New Roman" w:cs="Times New Roman"/>
          <w:color w:val="222222"/>
          <w:sz w:val="24"/>
          <w:szCs w:val="24"/>
          <w:shd w:val="clear" w:color="auto" w:fill="FFFFFF"/>
        </w:rPr>
        <w:t>,</w:t>
      </w:r>
      <w:r w:rsidRPr="00EF7D8E">
        <w:rPr>
          <w:rStyle w:val="apple-converted-space"/>
          <w:rFonts w:ascii="Times New Roman" w:hAnsi="Times New Roman" w:cs="Times New Roman"/>
          <w:color w:val="222222"/>
          <w:sz w:val="24"/>
          <w:szCs w:val="24"/>
          <w:shd w:val="clear" w:color="auto" w:fill="FFFFFF"/>
        </w:rPr>
        <w:t> </w:t>
      </w:r>
      <w:r w:rsidRPr="00EF7D8E">
        <w:rPr>
          <w:rFonts w:ascii="Times New Roman" w:hAnsi="Times New Roman" w:cs="Times New Roman"/>
          <w:i/>
          <w:iCs/>
          <w:color w:val="222222"/>
          <w:sz w:val="24"/>
          <w:szCs w:val="24"/>
          <w:shd w:val="clear" w:color="auto" w:fill="FFFFFF"/>
        </w:rPr>
        <w:t>73</w:t>
      </w:r>
      <w:r w:rsidRPr="00EF7D8E">
        <w:rPr>
          <w:rFonts w:ascii="Times New Roman" w:hAnsi="Times New Roman" w:cs="Times New Roman"/>
          <w:color w:val="222222"/>
          <w:sz w:val="24"/>
          <w:szCs w:val="24"/>
          <w:shd w:val="clear" w:color="auto" w:fill="FFFFFF"/>
        </w:rPr>
        <w:t>(2), 100-115.</w:t>
      </w:r>
    </w:p>
    <w:p w:rsidR="00EF7D8E" w:rsidRPr="00EF7D8E" w:rsidRDefault="00EF7D8E" w:rsidP="00EF7D8E">
      <w:pPr>
        <w:spacing w:line="480" w:lineRule="auto"/>
        <w:ind w:left="720" w:hanging="720"/>
        <w:rPr>
          <w:rFonts w:ascii="Times New Roman" w:hAnsi="Times New Roman" w:cs="Times New Roman"/>
          <w:color w:val="222222"/>
          <w:sz w:val="24"/>
          <w:szCs w:val="24"/>
          <w:shd w:val="clear" w:color="auto" w:fill="FFFFFF"/>
        </w:rPr>
      </w:pPr>
      <w:r w:rsidRPr="00EF7D8E">
        <w:rPr>
          <w:rFonts w:ascii="Times New Roman" w:hAnsi="Times New Roman" w:cs="Times New Roman"/>
          <w:color w:val="222222"/>
          <w:sz w:val="24"/>
          <w:szCs w:val="24"/>
          <w:shd w:val="clear" w:color="auto" w:fill="FFFFFF"/>
        </w:rPr>
        <w:t xml:space="preserve">Kaufman, G. G., &amp; Hopewell, M. H. (2017). Bond price volatility and term to maturity: A generalized respecification. </w:t>
      </w:r>
      <w:r w:rsidR="00EB7B20" w:rsidRPr="00EF7D8E">
        <w:rPr>
          <w:rFonts w:ascii="Times New Roman" w:hAnsi="Times New Roman" w:cs="Times New Roman"/>
          <w:color w:val="222222"/>
          <w:sz w:val="24"/>
          <w:szCs w:val="24"/>
          <w:shd w:val="clear" w:color="auto" w:fill="FFFFFF"/>
        </w:rPr>
        <w:t>In</w:t>
      </w:r>
      <w:r w:rsidR="00EB7B20" w:rsidRPr="00EF7D8E">
        <w:rPr>
          <w:rFonts w:ascii="Times New Roman" w:hAnsi="Times New Roman" w:cs="Times New Roman"/>
          <w:i/>
          <w:iCs/>
          <w:color w:val="222222"/>
          <w:sz w:val="24"/>
          <w:szCs w:val="24"/>
          <w:shd w:val="clear" w:color="auto" w:fill="FFFFFF"/>
        </w:rPr>
        <w:t xml:space="preserve"> Bond</w:t>
      </w:r>
      <w:r w:rsidRPr="00EF7D8E">
        <w:rPr>
          <w:rFonts w:ascii="Times New Roman" w:hAnsi="Times New Roman" w:cs="Times New Roman"/>
          <w:i/>
          <w:iCs/>
          <w:color w:val="222222"/>
          <w:sz w:val="24"/>
          <w:szCs w:val="24"/>
          <w:shd w:val="clear" w:color="auto" w:fill="FFFFFF"/>
        </w:rPr>
        <w:t xml:space="preserve"> Duration and Immunization</w:t>
      </w:r>
      <w:r w:rsidRPr="00EF7D8E">
        <w:rPr>
          <w:rStyle w:val="apple-converted-space"/>
          <w:rFonts w:ascii="Times New Roman" w:hAnsi="Times New Roman" w:cs="Times New Roman"/>
          <w:color w:val="222222"/>
          <w:sz w:val="24"/>
          <w:szCs w:val="24"/>
          <w:shd w:val="clear" w:color="auto" w:fill="FFFFFF"/>
        </w:rPr>
        <w:t> </w:t>
      </w:r>
      <w:r w:rsidRPr="00EF7D8E">
        <w:rPr>
          <w:rFonts w:ascii="Times New Roman" w:hAnsi="Times New Roman" w:cs="Times New Roman"/>
          <w:color w:val="222222"/>
          <w:sz w:val="24"/>
          <w:szCs w:val="24"/>
          <w:shd w:val="clear" w:color="auto" w:fill="FFFFFF"/>
        </w:rPr>
        <w:t>(pp. 64-68). Routledge.</w:t>
      </w:r>
    </w:p>
    <w:p w:rsidR="00EF7D8E" w:rsidRPr="00EF7D8E" w:rsidRDefault="00EF7D8E" w:rsidP="00EF7D8E">
      <w:pPr>
        <w:spacing w:line="480" w:lineRule="auto"/>
        <w:ind w:left="720" w:hanging="720"/>
        <w:rPr>
          <w:rFonts w:ascii="Times New Roman" w:hAnsi="Times New Roman" w:cs="Times New Roman"/>
          <w:sz w:val="24"/>
          <w:szCs w:val="24"/>
        </w:rPr>
      </w:pPr>
      <w:r w:rsidRPr="00EF7D8E">
        <w:rPr>
          <w:rFonts w:ascii="Times New Roman" w:hAnsi="Times New Roman" w:cs="Times New Roman"/>
          <w:color w:val="222222"/>
          <w:sz w:val="24"/>
          <w:szCs w:val="24"/>
          <w:shd w:val="clear" w:color="auto" w:fill="FFFFFF"/>
        </w:rPr>
        <w:t>Kriz, K. A., &amp; Xiao, Y. (2017). The Impact of Rating Recalibration on Municipal Bond Yield Spreads.</w:t>
      </w:r>
      <w:r w:rsidRPr="00EF7D8E">
        <w:rPr>
          <w:rStyle w:val="apple-converted-space"/>
          <w:rFonts w:ascii="Times New Roman" w:hAnsi="Times New Roman" w:cs="Times New Roman"/>
          <w:color w:val="222222"/>
          <w:sz w:val="24"/>
          <w:szCs w:val="24"/>
          <w:shd w:val="clear" w:color="auto" w:fill="FFFFFF"/>
        </w:rPr>
        <w:t> </w:t>
      </w:r>
      <w:r w:rsidRPr="00EF7D8E">
        <w:rPr>
          <w:rFonts w:ascii="Times New Roman" w:hAnsi="Times New Roman" w:cs="Times New Roman"/>
          <w:i/>
          <w:iCs/>
          <w:color w:val="222222"/>
          <w:sz w:val="24"/>
          <w:szCs w:val="24"/>
          <w:shd w:val="clear" w:color="auto" w:fill="FFFFFF"/>
        </w:rPr>
        <w:t>Public Budgeting &amp; Finance</w:t>
      </w:r>
      <w:r w:rsidRPr="00EF7D8E">
        <w:rPr>
          <w:rFonts w:ascii="Times New Roman" w:hAnsi="Times New Roman" w:cs="Times New Roman"/>
          <w:color w:val="222222"/>
          <w:sz w:val="24"/>
          <w:szCs w:val="24"/>
          <w:shd w:val="clear" w:color="auto" w:fill="FFFFFF"/>
        </w:rPr>
        <w:t>.</w:t>
      </w:r>
    </w:p>
    <w:p w:rsidR="00EF7D8E" w:rsidRPr="00EF7D8E" w:rsidRDefault="00EF7D8E" w:rsidP="00EF7D8E">
      <w:pPr>
        <w:spacing w:line="480" w:lineRule="auto"/>
        <w:ind w:left="720" w:hanging="720"/>
        <w:rPr>
          <w:rFonts w:ascii="Times New Roman" w:hAnsi="Times New Roman" w:cs="Times New Roman"/>
          <w:color w:val="222222"/>
          <w:sz w:val="24"/>
          <w:szCs w:val="24"/>
          <w:shd w:val="clear" w:color="auto" w:fill="FFFFFF"/>
        </w:rPr>
      </w:pPr>
      <w:r w:rsidRPr="00EF7D8E">
        <w:rPr>
          <w:rFonts w:ascii="Times New Roman" w:hAnsi="Times New Roman" w:cs="Times New Roman"/>
          <w:color w:val="222222"/>
          <w:sz w:val="24"/>
          <w:szCs w:val="24"/>
          <w:shd w:val="clear" w:color="auto" w:fill="FFFFFF"/>
        </w:rPr>
        <w:t xml:space="preserve">Schwert, M. (2017). Municipal bond liquidity and default </w:t>
      </w:r>
      <w:r w:rsidR="00EB7B20" w:rsidRPr="00EF7D8E">
        <w:rPr>
          <w:rFonts w:ascii="Times New Roman" w:hAnsi="Times New Roman" w:cs="Times New Roman"/>
          <w:color w:val="222222"/>
          <w:sz w:val="24"/>
          <w:szCs w:val="24"/>
          <w:shd w:val="clear" w:color="auto" w:fill="FFFFFF"/>
        </w:rPr>
        <w:t>risk.</w:t>
      </w:r>
      <w:r w:rsidR="00EB7B20" w:rsidRPr="00EF7D8E">
        <w:rPr>
          <w:rFonts w:ascii="Times New Roman" w:hAnsi="Times New Roman" w:cs="Times New Roman"/>
          <w:i/>
          <w:iCs/>
          <w:color w:val="222222"/>
          <w:sz w:val="24"/>
          <w:szCs w:val="24"/>
          <w:shd w:val="clear" w:color="auto" w:fill="FFFFFF"/>
        </w:rPr>
        <w:t xml:space="preserve"> The</w:t>
      </w:r>
      <w:r w:rsidRPr="00EF7D8E">
        <w:rPr>
          <w:rFonts w:ascii="Times New Roman" w:hAnsi="Times New Roman" w:cs="Times New Roman"/>
          <w:i/>
          <w:iCs/>
          <w:color w:val="222222"/>
          <w:sz w:val="24"/>
          <w:szCs w:val="24"/>
          <w:shd w:val="clear" w:color="auto" w:fill="FFFFFF"/>
        </w:rPr>
        <w:t xml:space="preserve"> Journal of Finance</w:t>
      </w:r>
      <w:r w:rsidRPr="00EF7D8E">
        <w:rPr>
          <w:rFonts w:ascii="Times New Roman" w:hAnsi="Times New Roman" w:cs="Times New Roman"/>
          <w:color w:val="222222"/>
          <w:sz w:val="24"/>
          <w:szCs w:val="24"/>
          <w:shd w:val="clear" w:color="auto" w:fill="FFFFFF"/>
        </w:rPr>
        <w:t>,</w:t>
      </w:r>
      <w:r w:rsidRPr="00EF7D8E">
        <w:rPr>
          <w:rStyle w:val="apple-converted-space"/>
          <w:rFonts w:ascii="Times New Roman" w:hAnsi="Times New Roman" w:cs="Times New Roman"/>
          <w:color w:val="222222"/>
          <w:sz w:val="24"/>
          <w:szCs w:val="24"/>
          <w:shd w:val="clear" w:color="auto" w:fill="FFFFFF"/>
        </w:rPr>
        <w:t> </w:t>
      </w:r>
      <w:r w:rsidRPr="00EF7D8E">
        <w:rPr>
          <w:rFonts w:ascii="Times New Roman" w:hAnsi="Times New Roman" w:cs="Times New Roman"/>
          <w:i/>
          <w:iCs/>
          <w:color w:val="222222"/>
          <w:sz w:val="24"/>
          <w:szCs w:val="24"/>
          <w:shd w:val="clear" w:color="auto" w:fill="FFFFFF"/>
        </w:rPr>
        <w:t>72</w:t>
      </w:r>
      <w:r w:rsidRPr="00EF7D8E">
        <w:rPr>
          <w:rFonts w:ascii="Times New Roman" w:hAnsi="Times New Roman" w:cs="Times New Roman"/>
          <w:color w:val="222222"/>
          <w:sz w:val="24"/>
          <w:szCs w:val="24"/>
          <w:shd w:val="clear" w:color="auto" w:fill="FFFFFF"/>
        </w:rPr>
        <w:t>(4), 1683-1722.</w:t>
      </w:r>
    </w:p>
    <w:sectPr w:rsidR="00EF7D8E" w:rsidRPr="00EF7D8E" w:rsidSect="00A147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6400" w:rsidRDefault="003A6400" w:rsidP="00A147A9">
      <w:pPr>
        <w:spacing w:after="0" w:line="240" w:lineRule="auto"/>
      </w:pPr>
      <w:r>
        <w:separator/>
      </w:r>
    </w:p>
  </w:endnote>
  <w:endnote w:type="continuationSeparator" w:id="0">
    <w:p w:rsidR="003A6400" w:rsidRDefault="003A6400" w:rsidP="00A147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6400" w:rsidRDefault="003A6400" w:rsidP="00A147A9">
      <w:pPr>
        <w:spacing w:after="0" w:line="240" w:lineRule="auto"/>
      </w:pPr>
      <w:r>
        <w:separator/>
      </w:r>
    </w:p>
  </w:footnote>
  <w:footnote w:type="continuationSeparator" w:id="0">
    <w:p w:rsidR="003A6400" w:rsidRDefault="003A6400" w:rsidP="00A147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10022"/>
      <w:docPartObj>
        <w:docPartGallery w:val="Page Numbers (Top of Page)"/>
        <w:docPartUnique/>
      </w:docPartObj>
    </w:sdtPr>
    <w:sdtContent>
      <w:p w:rsidR="0071083C" w:rsidRPr="00A147A9" w:rsidRDefault="0071083C">
        <w:pPr>
          <w:pStyle w:val="Header"/>
          <w:jc w:val="right"/>
          <w:rPr>
            <w:rFonts w:ascii="Times New Roman" w:hAnsi="Times New Roman" w:cs="Times New Roman"/>
            <w:sz w:val="24"/>
            <w:szCs w:val="24"/>
          </w:rPr>
        </w:pPr>
        <w:r w:rsidRPr="00A147A9">
          <w:rPr>
            <w:rFonts w:ascii="Times New Roman" w:hAnsi="Times New Roman" w:cs="Times New Roman"/>
            <w:sz w:val="24"/>
            <w:szCs w:val="24"/>
          </w:rPr>
          <w:fldChar w:fldCharType="begin"/>
        </w:r>
        <w:r w:rsidRPr="00A147A9">
          <w:rPr>
            <w:rFonts w:ascii="Times New Roman" w:hAnsi="Times New Roman" w:cs="Times New Roman"/>
            <w:sz w:val="24"/>
            <w:szCs w:val="24"/>
          </w:rPr>
          <w:instrText xml:space="preserve"> PAGE   \* MERGEFORMAT </w:instrText>
        </w:r>
        <w:r w:rsidRPr="00A147A9">
          <w:rPr>
            <w:rFonts w:ascii="Times New Roman" w:hAnsi="Times New Roman" w:cs="Times New Roman"/>
            <w:sz w:val="24"/>
            <w:szCs w:val="24"/>
          </w:rPr>
          <w:fldChar w:fldCharType="separate"/>
        </w:r>
        <w:r w:rsidR="00255A7D">
          <w:rPr>
            <w:rFonts w:ascii="Times New Roman" w:hAnsi="Times New Roman" w:cs="Times New Roman"/>
            <w:noProof/>
            <w:sz w:val="24"/>
            <w:szCs w:val="24"/>
          </w:rPr>
          <w:t>3</w:t>
        </w:r>
        <w:r w:rsidRPr="00A147A9">
          <w:rPr>
            <w:rFonts w:ascii="Times New Roman" w:hAnsi="Times New Roman" w:cs="Times New Roman"/>
            <w:sz w:val="24"/>
            <w:szCs w:val="24"/>
          </w:rPr>
          <w:fldChar w:fldCharType="end"/>
        </w:r>
      </w:p>
    </w:sdtContent>
  </w:sdt>
  <w:p w:rsidR="0071083C" w:rsidRPr="00A147A9" w:rsidRDefault="0071083C">
    <w:pPr>
      <w:pStyle w:val="Header"/>
      <w:rPr>
        <w:rFonts w:ascii="Times New Roman" w:hAnsi="Times New Roman" w:cs="Times New Roman"/>
        <w:sz w:val="24"/>
        <w:szCs w:val="24"/>
      </w:rPr>
    </w:pPr>
    <w:r w:rsidRPr="00A147A9">
      <w:rPr>
        <w:rFonts w:ascii="Times New Roman" w:hAnsi="Times New Roman" w:cs="Times New Roman"/>
        <w:sz w:val="24"/>
        <w:szCs w:val="24"/>
      </w:rPr>
      <w:t>Interest Bonds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9988"/>
      <w:docPartObj>
        <w:docPartGallery w:val="Page Numbers (Top of Page)"/>
        <w:docPartUnique/>
      </w:docPartObj>
    </w:sdtPr>
    <w:sdtEndPr>
      <w:rPr>
        <w:rFonts w:ascii="Times New Roman" w:hAnsi="Times New Roman" w:cs="Times New Roman"/>
        <w:sz w:val="24"/>
        <w:szCs w:val="24"/>
      </w:rPr>
    </w:sdtEndPr>
    <w:sdtContent>
      <w:p w:rsidR="0071083C" w:rsidRPr="00A147A9" w:rsidRDefault="0071083C">
        <w:pPr>
          <w:pStyle w:val="Header"/>
          <w:jc w:val="right"/>
          <w:rPr>
            <w:rFonts w:ascii="Times New Roman" w:hAnsi="Times New Roman" w:cs="Times New Roman"/>
            <w:sz w:val="24"/>
            <w:szCs w:val="24"/>
          </w:rPr>
        </w:pPr>
        <w:r w:rsidRPr="00A147A9">
          <w:rPr>
            <w:rFonts w:ascii="Times New Roman" w:hAnsi="Times New Roman" w:cs="Times New Roman"/>
            <w:sz w:val="24"/>
            <w:szCs w:val="24"/>
          </w:rPr>
          <w:fldChar w:fldCharType="begin"/>
        </w:r>
        <w:r w:rsidRPr="00A147A9">
          <w:rPr>
            <w:rFonts w:ascii="Times New Roman" w:hAnsi="Times New Roman" w:cs="Times New Roman"/>
            <w:sz w:val="24"/>
            <w:szCs w:val="24"/>
          </w:rPr>
          <w:instrText xml:space="preserve"> PAGE   \* MERGEFORMAT </w:instrText>
        </w:r>
        <w:r w:rsidRPr="00A147A9">
          <w:rPr>
            <w:rFonts w:ascii="Times New Roman" w:hAnsi="Times New Roman" w:cs="Times New Roman"/>
            <w:sz w:val="24"/>
            <w:szCs w:val="24"/>
          </w:rPr>
          <w:fldChar w:fldCharType="separate"/>
        </w:r>
        <w:r w:rsidR="00943FA6">
          <w:rPr>
            <w:rFonts w:ascii="Times New Roman" w:hAnsi="Times New Roman" w:cs="Times New Roman"/>
            <w:noProof/>
            <w:sz w:val="24"/>
            <w:szCs w:val="24"/>
          </w:rPr>
          <w:t>1</w:t>
        </w:r>
        <w:r w:rsidRPr="00A147A9">
          <w:rPr>
            <w:rFonts w:ascii="Times New Roman" w:hAnsi="Times New Roman" w:cs="Times New Roman"/>
            <w:sz w:val="24"/>
            <w:szCs w:val="24"/>
          </w:rPr>
          <w:fldChar w:fldCharType="end"/>
        </w:r>
      </w:p>
    </w:sdtContent>
  </w:sdt>
  <w:p w:rsidR="0071083C" w:rsidRPr="00A147A9" w:rsidRDefault="0071083C">
    <w:pPr>
      <w:pStyle w:val="Header"/>
      <w:rPr>
        <w:rFonts w:ascii="Times New Roman" w:hAnsi="Times New Roman" w:cs="Times New Roman"/>
        <w:sz w:val="24"/>
        <w:szCs w:val="24"/>
      </w:rPr>
    </w:pPr>
    <w:r w:rsidRPr="00A147A9">
      <w:rPr>
        <w:rFonts w:ascii="Times New Roman" w:hAnsi="Times New Roman" w:cs="Times New Roman"/>
        <w:sz w:val="24"/>
        <w:szCs w:val="24"/>
      </w:rPr>
      <w:t>Running head: INTEREST BONDS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147A9"/>
    <w:rsid w:val="000567EE"/>
    <w:rsid w:val="000D1C32"/>
    <w:rsid w:val="00115E82"/>
    <w:rsid w:val="001662CD"/>
    <w:rsid w:val="00191C32"/>
    <w:rsid w:val="001C7DC0"/>
    <w:rsid w:val="00255A7D"/>
    <w:rsid w:val="00275F72"/>
    <w:rsid w:val="002B67C1"/>
    <w:rsid w:val="002C7AF7"/>
    <w:rsid w:val="002E33BF"/>
    <w:rsid w:val="002F0B31"/>
    <w:rsid w:val="002F4383"/>
    <w:rsid w:val="00383172"/>
    <w:rsid w:val="003853B4"/>
    <w:rsid w:val="003A6400"/>
    <w:rsid w:val="003F5D00"/>
    <w:rsid w:val="00403D5B"/>
    <w:rsid w:val="0052235F"/>
    <w:rsid w:val="005426B4"/>
    <w:rsid w:val="005479EA"/>
    <w:rsid w:val="00547AF7"/>
    <w:rsid w:val="0056628C"/>
    <w:rsid w:val="00575C18"/>
    <w:rsid w:val="00666DED"/>
    <w:rsid w:val="006A30C1"/>
    <w:rsid w:val="006C2384"/>
    <w:rsid w:val="006D5AFF"/>
    <w:rsid w:val="0071083C"/>
    <w:rsid w:val="007B7A0F"/>
    <w:rsid w:val="007E553E"/>
    <w:rsid w:val="0085380C"/>
    <w:rsid w:val="00872CDF"/>
    <w:rsid w:val="008D7907"/>
    <w:rsid w:val="008E5589"/>
    <w:rsid w:val="00933F07"/>
    <w:rsid w:val="00943FA6"/>
    <w:rsid w:val="00A147A9"/>
    <w:rsid w:val="00A66BF6"/>
    <w:rsid w:val="00AA2AA8"/>
    <w:rsid w:val="00B24526"/>
    <w:rsid w:val="00BA604F"/>
    <w:rsid w:val="00BB0463"/>
    <w:rsid w:val="00BC68AF"/>
    <w:rsid w:val="00C05D7D"/>
    <w:rsid w:val="00C754FF"/>
    <w:rsid w:val="00C77FC2"/>
    <w:rsid w:val="00DE0EF2"/>
    <w:rsid w:val="00E31044"/>
    <w:rsid w:val="00EB4162"/>
    <w:rsid w:val="00EB7B20"/>
    <w:rsid w:val="00ED6047"/>
    <w:rsid w:val="00EF32D0"/>
    <w:rsid w:val="00EF7D8E"/>
    <w:rsid w:val="00F160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6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7A9"/>
  </w:style>
  <w:style w:type="paragraph" w:styleId="Footer">
    <w:name w:val="footer"/>
    <w:basedOn w:val="Normal"/>
    <w:link w:val="FooterChar"/>
    <w:uiPriority w:val="99"/>
    <w:semiHidden/>
    <w:unhideWhenUsed/>
    <w:rsid w:val="00A147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47A9"/>
  </w:style>
  <w:style w:type="paragraph" w:styleId="BalloonText">
    <w:name w:val="Balloon Text"/>
    <w:basedOn w:val="Normal"/>
    <w:link w:val="BalloonTextChar"/>
    <w:uiPriority w:val="99"/>
    <w:semiHidden/>
    <w:unhideWhenUsed/>
    <w:rsid w:val="00A147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7A9"/>
    <w:rPr>
      <w:rFonts w:ascii="Tahoma" w:hAnsi="Tahoma" w:cs="Tahoma"/>
      <w:sz w:val="16"/>
      <w:szCs w:val="16"/>
    </w:rPr>
  </w:style>
  <w:style w:type="character" w:customStyle="1" w:styleId="apple-converted-space">
    <w:name w:val="apple-converted-space"/>
    <w:basedOn w:val="DefaultParagraphFont"/>
    <w:rsid w:val="00DE0E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963B15"/>
    <w:rsid w:val="00963B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439E72B7354DADB06D6A795A026F29">
    <w:name w:val="7F439E72B7354DADB06D6A795A026F29"/>
    <w:rsid w:val="00963B15"/>
  </w:style>
  <w:style w:type="paragraph" w:customStyle="1" w:styleId="B2CC4B4E9F70489E9D78D8ACAC7E65C7">
    <w:name w:val="B2CC4B4E9F70489E9D78D8ACAC7E65C7"/>
    <w:rsid w:val="00963B15"/>
  </w:style>
  <w:style w:type="paragraph" w:customStyle="1" w:styleId="5F7AC8CD483148F594048D7CCA84A1A1">
    <w:name w:val="5F7AC8CD483148F594048D7CCA84A1A1"/>
    <w:rsid w:val="00963B1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narasha</cp:lastModifiedBy>
  <cp:revision>51</cp:revision>
  <dcterms:created xsi:type="dcterms:W3CDTF">2018-05-08T09:07:00Z</dcterms:created>
  <dcterms:modified xsi:type="dcterms:W3CDTF">2018-05-08T10:19:00Z</dcterms:modified>
</cp:coreProperties>
</file>